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8"/>
        </w:rPr>
      </w:pPr>
      <w:r>
        <w:rPr>
          <w:rFonts w:ascii="Times New Roman" w:eastAsia="Times New Roman" w:hAnsi="Times New Roman" w:cs="Times New Roman"/>
          <w:b/>
          <w:caps/>
          <w:sz w:val="28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XVI/226/25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8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8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20 sierpnia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sprzedaż w trybie bezprzetargowym działki nr 15/1 o pow. 0,01 ha, położonej w Łęgu Tarnowskim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pkt. 9. lit. "a"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 poz. 1465, z późniejszymi zmianami) oraz art. 13 ust.1 i art. 37 ust.2 pkt.6 ustawy z dnia 21 sierpnia 1997 r. o gospodarce nieruchomościami (tekst jednolity Dz.U. z 2024 r., poz. 1145, z 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zbycie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drodze bezprzetargowej działki nr 15/1 o pow. 0,01 ha, położonej w Łęgu Tarnowskim, dla której Sąd Rejonowy w Dąbrowie Tarnowskiej IV Wydział Ksiąg Wieczystych prowadzi księgę wieczystą nr TR1D/00059348/0, stanowiącej własność Gminy Żabno, z przeznaczeniem na poprawę zagospodarowania nieruchomości przyległej, oznaczonej jako działka nr 15/2, położona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Łęgu Tarnowskim, dla której prowadzona jest księga wieczysta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nr TR1D/00058883/5.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4FE9E70D-00A7-44C0-AA1B-77DE3D84EC02.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XVI/226/25 z dnia 20 sierpnia 2025 r.</dc:title>
  <dc:subject>w sprawie wyrażenia zgody na sprzedaż w^trybie bezprzetargowym działki nr 15/1 o^pow. 0,01 ha, położonej w^Łęgu Tarnowskim</dc:subject>
  <dc:creator>Mateusz Libera</dc:creator>
  <cp:lastModifiedBy>Mateusz Libera</cp:lastModifiedBy>
  <cp:revision>1</cp:revision>
  <dcterms:created xsi:type="dcterms:W3CDTF">2025-08-21T12:09:43Z</dcterms:created>
  <dcterms:modified xsi:type="dcterms:W3CDTF">2025-08-21T12:09:43Z</dcterms:modified>
  <cp:category>Akt prawny</cp:category>
</cp:coreProperties>
</file>